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FGF4 Elisa Kit(狗成纤维细胞生长因子4  )</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简介：成纤维细胞生长因子受体4是一种由FGFR4基因编码的蛋白质。它被映射到13 B1；13.29.8厘米。FGFR4也被指定为CD334（分化簇334）。该基因编码的蛋白质是成纤维细胞生长因子受体家族的一员，在该家族成员之间以及整个进化过程中，氨基酸序列高度保守。FGFR家族成员在配体亲和力和组织分布方面彼此不同。由一个具有代表性的胞外蛋白激酶和一个跨胞质的酪氨酸段组成。蛋白质的细胞外部分与成纤维细胞生长因子相互作用，启动一系列下游信号，最终影响有丝分裂和分化。与成员1-3相比，该基因的基因组结构包含18个外显子，而不是19或20个外显子。尽管已观察到选择性剪接，但没有证据表明该蛋白质IgIII结构域的C端半在三种不同形式之间存在差异，如成员1-3所示。该特定家族成员优先结合酸性成纤维细胞生长因子，尽管其具体功能尚不清楚，但在妇科肿瘤样本中过度表达，表明其在乳腺和卵巢肿瘤发生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FGF4 Elisa Kit(狗成纤维细胞生长因子4  )</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Fibroblast growth factor receptor 4 is a protein that in humans is encoded by the FGFR4 gene. It is mapped to 13 B1; 13 29.8 cM. FGFR4 has also been designated as CD334 (cluster of differentiation 334). The protein encoded by this gene is a member of the fibroblast growth factor receptor family, where amino acid sequence is highly conserved between members and throughout evolution. FGFR family members differ from one another in their ligand affinities and tissue distribution. A full-length representative protein would consist of an extracellular region, composed of three immunoglobulin-like domains, a single hydrophobic membrane-spanning segment and a cytoplasmic tyrosine kinase domain. The extracellular portion of the protein interacts with fibroblast growth factors, setting in motion a cascade of downstream signals, ultimately influencing mitogenesis and differentiation. The genomic organization of this gene, compared to members 1-3, encompasses 18 exons rather than 19 or 20. Although alternative splicing has been observed, there is no evidence that the C-terminal half of the IgIII domain of this protein varies between three alternate forms, as indicated for members 1-3. This particular family member preferentially binds acidic fibroblast growth factor and, although its specific function is unknown, it is overexpressed in gynecological tumor samples, suggesting a role in breast and ovarian tumorigenesis.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