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IFN-α Elisa Kit</w:t>
      </w:r>
    </w:p>
    <w:p w:rsidR="00CC34C7" w:rsidRDefault="00000000" w:rsidP="00D520B4">
      <w:pPr>
        <w:pStyle w:val="ab"/>
        <w:numPr>
          <w:ilvl w:val="0"/>
          <w:numId w:val="1"/>
        </w:numPr>
        <w:spacing w:line="360" w:lineRule="auto"/>
        <w:ind w:firstLineChars="0"/>
      </w:pPr>
      <w:r>
        <w:rPr>
          <w:rFonts w:hint="eastAsia"/>
        </w:rPr>
        <w:t xml:space="preserve">检测范围：11–700pg/ml</w:t>
      </w:r>
    </w:p>
    <w:p w:rsidR="00CC34C7" w:rsidRDefault="00000000" w:rsidP="00D520B4">
      <w:pPr>
        <w:pStyle w:val="ab"/>
        <w:numPr>
          <w:ilvl w:val="0"/>
          <w:numId w:val="1"/>
        </w:numPr>
        <w:spacing w:line="360" w:lineRule="auto"/>
        <w:ind w:firstLineChars="0"/>
      </w:pPr>
      <w:r>
        <w:rPr>
          <w:rFonts w:hint="eastAsia"/>
        </w:rPr>
        <w:t xml:space="preserve">灵 敏 度：＜2.0pg/ml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700.0</w:t>
            </w:r>
          </w:p>
        </w:tc>
        <w:tc>
          <w:tcPr>
            <w:tcW w:w="1207" w:type="dxa"/>
          </w:tcPr>
          <w:p w:rsidR="00CC34C7" w:rsidRDefault="00000000" w:rsidP="00D520B4">
            <w:pPr>
              <w:spacing w:line="360" w:lineRule="auto"/>
              <w:jc w:val="center"/>
            </w:pPr>
            <w:r>
              <w:rPr>
                <w:rFonts w:hint="eastAsia"/>
              </w:rPr>
              <w:t xml:space="preserve">350.0</w:t>
            </w:r>
          </w:p>
        </w:tc>
        <w:tc>
          <w:tcPr>
            <w:tcW w:w="1207" w:type="dxa"/>
          </w:tcPr>
          <w:p w:rsidR="00CC34C7" w:rsidRDefault="00000000" w:rsidP="00D520B4">
            <w:pPr>
              <w:spacing w:line="360" w:lineRule="auto"/>
              <w:jc w:val="center"/>
            </w:pPr>
            <w:r>
              <w:rPr>
                <w:rFonts w:hint="eastAsia"/>
              </w:rPr>
              <w:t xml:space="preserve">175.0</w:t>
            </w:r>
          </w:p>
        </w:tc>
        <w:tc>
          <w:tcPr>
            <w:tcW w:w="1207" w:type="dxa"/>
          </w:tcPr>
          <w:p w:rsidR="00CC34C7" w:rsidRDefault="00000000" w:rsidP="00D520B4">
            <w:pPr>
              <w:spacing w:line="360" w:lineRule="auto"/>
              <w:jc w:val="center"/>
            </w:pPr>
            <w:r>
              <w:rPr>
                <w:rFonts w:hint="eastAsia"/>
              </w:rPr>
              <w:t xml:space="preserve">87.5</w:t>
            </w:r>
          </w:p>
        </w:tc>
        <w:tc>
          <w:tcPr>
            <w:tcW w:w="1207" w:type="dxa"/>
          </w:tcPr>
          <w:p w:rsidR="00CC34C7" w:rsidRDefault="00000000" w:rsidP="00D520B4">
            <w:pPr>
              <w:spacing w:line="360" w:lineRule="auto"/>
              <w:jc w:val="center"/>
            </w:pPr>
            <w:r>
              <w:rPr>
                <w:rFonts w:hint="eastAsia"/>
              </w:rPr>
              <w:t xml:space="preserve">43.75</w:t>
            </w:r>
          </w:p>
        </w:tc>
        <w:tc>
          <w:tcPr>
            <w:tcW w:w="1207" w:type="dxa"/>
          </w:tcPr>
          <w:p w:rsidR="00CC34C7" w:rsidRDefault="00000000" w:rsidP="00D520B4">
            <w:pPr>
              <w:spacing w:line="360" w:lineRule="auto"/>
              <w:jc w:val="center"/>
            </w:pPr>
            <w:r>
              <w:rPr>
                <w:rFonts w:hint="eastAsia"/>
              </w:rPr>
              <w:t xml:space="preserve">21.88</w:t>
            </w:r>
          </w:p>
        </w:tc>
        <w:tc>
          <w:tcPr>
            <w:tcW w:w="1208" w:type="dxa"/>
          </w:tcPr>
          <w:p w:rsidR="00CC34C7" w:rsidRDefault="00000000" w:rsidP="00D520B4">
            <w:pPr>
              <w:spacing w:line="360" w:lineRule="auto"/>
              <w:jc w:val="center"/>
            </w:pPr>
            <w:r>
              <w:rPr>
                <w:rFonts w:hint="eastAsia"/>
              </w:rPr>
              <w:t xml:space="preserve">11.0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干扰素-γ（IFN-γ）是一种炎症细胞因子，与炎症组织纤维化的发生有关。IFN-γ的产生受基因控制，可影响同种异体肺移植中纤维化的发展。IFN-γ也由自然杀伤（NK）细胞产生，最主要的是由CD8细胞毒性T细胞产生，对控制微生物病原体至关重要。干扰素γ被认为是宿主防御许多感染的关键。基因决定的IFN-γ和表达的变异性可能对结核病的发展很重要。干扰素γ激活人巨噬细胞氧化代谢和抗菌活性。IFN-γ除了具有抗病毒活性外，还具有重要的免疫调节功能。IFN-γ在控制新生内膜增殖中起重要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IFN-α Elisa Kit</w:t>
      </w:r>
    </w:p>
    <w:p w:rsidR="00CC34C7" w:rsidRDefault="00000000" w:rsidP="00D520B4">
      <w:pPr>
        <w:pStyle w:val="ab"/>
        <w:numPr>
          <w:ilvl w:val="0"/>
          <w:numId w:val="1"/>
        </w:numPr>
        <w:spacing w:line="360" w:lineRule="auto"/>
        <w:ind w:firstLineChars="0"/>
      </w:pPr>
      <w:r>
        <w:rPr>
          <w:rFonts w:hint="eastAsia"/>
        </w:rPr>
        <w:t xml:space="preserve">Detection range：11–700pg/ml</w:t>
      </w:r>
    </w:p>
    <w:p w:rsidR="00CC34C7" w:rsidRDefault="00000000" w:rsidP="00D520B4">
      <w:pPr>
        <w:pStyle w:val="ab"/>
        <w:numPr>
          <w:ilvl w:val="0"/>
          <w:numId w:val="1"/>
        </w:numPr>
        <w:spacing w:line="360" w:lineRule="auto"/>
        <w:ind w:firstLineChars="0"/>
      </w:pPr>
      <w:r>
        <w:rPr>
          <w:rFonts w:hint="eastAsia"/>
        </w:rPr>
        <w:t xml:space="preserve">Sensitivity：＜2.0pg/ml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700.0</w:t>
            </w:r>
          </w:p>
        </w:tc>
        <w:tc>
          <w:tcPr>
            <w:tcW w:w="1137" w:type="dxa"/>
          </w:tcPr>
          <w:p w:rsidR="00CC34C7" w:rsidRDefault="00000000" w:rsidP="00D520B4">
            <w:pPr>
              <w:spacing w:line="360" w:lineRule="auto"/>
            </w:pPr>
            <w:r>
              <w:rPr>
                <w:rFonts w:hint="eastAsia"/>
              </w:rPr>
              <w:t xml:space="preserve">350.0</w:t>
            </w:r>
          </w:p>
        </w:tc>
        <w:tc>
          <w:tcPr>
            <w:tcW w:w="1137" w:type="dxa"/>
          </w:tcPr>
          <w:p w:rsidR="00CC34C7" w:rsidRDefault="00000000" w:rsidP="00D520B4">
            <w:pPr>
              <w:spacing w:line="360" w:lineRule="auto"/>
            </w:pPr>
            <w:r>
              <w:rPr>
                <w:rFonts w:hint="eastAsia"/>
              </w:rPr>
              <w:t xml:space="preserve">175.0</w:t>
            </w:r>
          </w:p>
        </w:tc>
        <w:tc>
          <w:tcPr>
            <w:tcW w:w="1137" w:type="dxa"/>
          </w:tcPr>
          <w:p w:rsidR="00CC34C7" w:rsidRDefault="00000000" w:rsidP="00D520B4">
            <w:pPr>
              <w:spacing w:line="360" w:lineRule="auto"/>
            </w:pPr>
            <w:r>
              <w:rPr>
                <w:rFonts w:hint="eastAsia"/>
              </w:rPr>
              <w:t xml:space="preserve">87.5</w:t>
            </w:r>
          </w:p>
        </w:tc>
        <w:tc>
          <w:tcPr>
            <w:tcW w:w="1137" w:type="dxa"/>
          </w:tcPr>
          <w:p w:rsidR="00CC34C7" w:rsidRDefault="00000000" w:rsidP="00D520B4">
            <w:pPr>
              <w:spacing w:line="360" w:lineRule="auto"/>
            </w:pPr>
            <w:r>
              <w:rPr>
                <w:rFonts w:hint="eastAsia"/>
              </w:rPr>
              <w:t xml:space="preserve">43.75</w:t>
            </w:r>
          </w:p>
        </w:tc>
        <w:tc>
          <w:tcPr>
            <w:tcW w:w="1137" w:type="dxa"/>
          </w:tcPr>
          <w:p w:rsidR="00CC34C7" w:rsidRDefault="00000000" w:rsidP="00D520B4">
            <w:pPr>
              <w:spacing w:line="360" w:lineRule="auto"/>
            </w:pPr>
            <w:r>
              <w:rPr>
                <w:rFonts w:hint="eastAsia"/>
              </w:rPr>
              <w:t xml:space="preserve">21.88</w:t>
            </w:r>
          </w:p>
        </w:tc>
        <w:tc>
          <w:tcPr>
            <w:tcW w:w="1138" w:type="dxa"/>
          </w:tcPr>
          <w:p w:rsidR="00CC34C7" w:rsidRDefault="00000000" w:rsidP="00D520B4">
            <w:pPr>
              <w:spacing w:line="360" w:lineRule="auto"/>
            </w:pPr>
            <w:r>
              <w:rPr>
                <w:rFonts w:hint="eastAsia"/>
              </w:rPr>
              <w:t xml:space="preserve">11.0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Interferon-gamma(IFN-gamma) is an inflammatory cytokine that has been implicated in the development of fibrosis in inflamed tissues. The production of IFN-gamma, which is under genetic control, can influence the development of fibrosis in lung allografts. IFN-gamma is also produced by natural killer(NK) cells and most prominently by CD8 cytotoxic T cells, and is vital for the control of microbial pathogens. Interferon gamma is believed to be crucial for host defence against many infections. Genetically determined variability in IFN-gamma and expression might be important for the development of tuberculosis. IFN-gamma activates human macrophage oxidative metabolism and antimicrobial activity. In addition to having antiviral activity, IFN-gamma has important immunoregulatory functions. IFN-gamma plays an important role in the control of neointima proliferation.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