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HRH1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简介：体内组胺受体有 H1、H2、H3 三种亚型，其中 H1 受体多分布于毛</w:t>
        <w:br/>
        <w:t xml:space="preserve">细血管、支气管、肠道平滑肌，当 H1 受体活化时，可引起过敏性荨麻疹、</w:t>
        <w:br/>
        <w:t xml:space="preserve">血管神经水肿伴随的瘙痒、喉痉挛及支气管痉挛等反应。</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HRH1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There are three subtypes of histamine receptors in vivo: H1, H2 and H3. H1 receptors </w:t>
        <w:br/>
        <w:t xml:space="preserve">are mainly distributed in capillaries, bronchi and intestinal smooth muscle. When H1 </w:t>
        <w:br/>
        <w:t xml:space="preserve">receptors are activated, they can cause allergic urticaria, pruritus associated with </w:t>
        <w:br/>
        <w:t xml:space="preserve">angioneuroedema, laryngospasm and bronchospasm.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