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Thyroglobulin Elisa Kit(小鼠甲状腺球蛋白 )</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简介：Rantes（受正常T细胞表达和分泌的活化调节）是趋化因子受体CCR5的天然配体之一，并能有效抑制HIV-1 R5株的体外复制，该株使用CCR5作为辅助受体。从不同个体获得的外周血单个核细胞或CD4（+）淋巴细胞分泌RANTES的能力差异很大。Rantes基因产物预计为10 kDa，信号肽切割后约为8 kDa。在68个残基中，有4个是半胱氨酸，并且没有N-键糖基化位点。Rantes由培养的T细胞系表达，这些T细胞系具有Ag特异性和生长因子依赖性。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Thyroglobulin Elisa Kit(小鼠甲状腺球蛋白 )</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Rantes(regulated on activation normal T cell expressed and secreted) is one of the natural ligands for the chemokine receptor CCR5 and potently suppresses in vitro replication of the R5 strains of HIV-1, which use CCR5 as a coreceptor. Peripheral blood mononuclear cells or CD4(+) lymphocytes obtained from different individuals have wide variations in their ability to secrete RANTES. The Rantes gene product is predicted to be 10 kDa and, after cleavage of the signal peptide, approximately 8 kDa. Of the 68 residues, 4 are cysteines, and there are no sites for N-linked glycosylation. Rantes is expressed by cultured T cell lines that are Ag specific and growth factor dependent.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