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CDK1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简介：CDK1(细胞周期蛋白依赖性激酶 1)是一个高度保守的 Ser/Thr 蛋白激酶，在 细胞周期循环中起着重要的作用。在人体内，Cdk1 是由 CDC2 基因编码，与 cyclin 形成复合物磷酸化一系列的目标底物（已知在出芽酵母中超过 75 种蛋白），从 而导致细胞周期循环的发生。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CDK1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CDK1 (cyclin dependent kinase 1) is a highly conserved Ser / Thr protein kinase that plays an important role in the cell cycle. In the human body, CDK1 is encoded by cdc2 gene and forms a complex with cyclin to phosphorylate a series of target substrates (more than 75 proteins are known in budding yeast), leading to the occurrence of cell cycle cycle.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