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D-LDH Elisa Kit(D-小鼠乳酸脱氢酶）</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简介：D-乳酸脱氢酶是一种以 NAD + 或 NADP + 为 受体 、作用于 供体 CH - OH 基团 上的 氧化还原酶。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D-LDH Elisa Kit(D-小鼠乳酸脱氢酶）</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D-lactate dehydrogenase is an oxidoreductase that acts on the ch - OH group of the donor with NAD + or NADP + as the receptor.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