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Synuclein alpha alpha 140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简介：α-突触核蛋白是一个小的可溶性蛋白质家族的成员，</w:t>
        <w:br/>
        <w:t xml:space="preserve">也包括β-突触核蛋白和γ-突触核蛋白。α-突触核蛋白是人脑中表达量最</w:t>
        <w:br/>
        <w:t xml:space="preserve">高的蛋白质之一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Synuclein alpha alpha 140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alpha -Synuclein is a member of a family of small, soluble proteins that also include</w:t>
        <w:br/>
        <w:t xml:space="preserve">beta -, and gamma -Synuclein. alpha -Synuclein is one of the most highly expressed</w:t>
        <w:br/>
        <w:t xml:space="preserve">proteins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