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PDCD6IP Elisa Kit</w:t>
      </w:r>
    </w:p>
    <w:p w:rsidR="00CC34C7" w:rsidRDefault="00000000" w:rsidP="00D520B4">
      <w:pPr>
        <w:pStyle w:val="ab"/>
        <w:numPr>
          <w:ilvl w:val="0"/>
          <w:numId w:val="1"/>
        </w:numPr>
        <w:spacing w:line="360" w:lineRule="auto"/>
        <w:ind w:firstLineChars="0"/>
      </w:pPr>
      <w:r>
        <w:rPr>
          <w:rFonts w:hint="eastAsia"/>
        </w:rPr>
        <w:t xml:space="preserve">检测范围：48.6–3000pg/mL</w:t>
      </w:r>
    </w:p>
    <w:p w:rsidR="00CC34C7" w:rsidRDefault="00000000" w:rsidP="00D520B4">
      <w:pPr>
        <w:pStyle w:val="ab"/>
        <w:numPr>
          <w:ilvl w:val="0"/>
          <w:numId w:val="1"/>
        </w:numPr>
        <w:spacing w:line="360" w:lineRule="auto"/>
        <w:ind w:firstLineChars="0"/>
      </w:pPr>
      <w:r>
        <w:rPr>
          <w:rFonts w:hint="eastAsia"/>
        </w:rPr>
        <w:t xml:space="preserve">灵 敏 度：＜8.84pg/ml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3000.0</w:t>
            </w:r>
          </w:p>
        </w:tc>
        <w:tc>
          <w:tcPr>
            <w:tcW w:w="1207" w:type="dxa"/>
          </w:tcPr>
          <w:p w:rsidR="00CC34C7" w:rsidRDefault="00000000" w:rsidP="00D520B4">
            <w:pPr>
              <w:spacing w:line="360" w:lineRule="auto"/>
              <w:jc w:val="center"/>
            </w:pPr>
            <w:r>
              <w:rPr>
                <w:rFonts w:hint="eastAsia"/>
              </w:rPr>
              <w:t xml:space="preserve">1500.0</w:t>
            </w:r>
          </w:p>
        </w:tc>
        <w:tc>
          <w:tcPr>
            <w:tcW w:w="1207" w:type="dxa"/>
          </w:tcPr>
          <w:p w:rsidR="00CC34C7" w:rsidRDefault="00000000" w:rsidP="00D520B4">
            <w:pPr>
              <w:spacing w:line="360" w:lineRule="auto"/>
              <w:jc w:val="center"/>
            </w:pPr>
            <w:r>
              <w:rPr>
                <w:rFonts w:hint="eastAsia"/>
              </w:rPr>
              <w:t xml:space="preserve">750.0</w:t>
            </w:r>
          </w:p>
        </w:tc>
        <w:tc>
          <w:tcPr>
            <w:tcW w:w="1207" w:type="dxa"/>
          </w:tcPr>
          <w:p w:rsidR="00CC34C7" w:rsidRDefault="00000000" w:rsidP="00D520B4">
            <w:pPr>
              <w:spacing w:line="360" w:lineRule="auto"/>
              <w:jc w:val="center"/>
            </w:pPr>
            <w:r>
              <w:rPr>
                <w:rFonts w:hint="eastAsia"/>
              </w:rPr>
              <w:t xml:space="preserve">375.0</w:t>
            </w:r>
          </w:p>
        </w:tc>
        <w:tc>
          <w:tcPr>
            <w:tcW w:w="1207" w:type="dxa"/>
          </w:tcPr>
          <w:p w:rsidR="00CC34C7" w:rsidRDefault="00000000" w:rsidP="00D520B4">
            <w:pPr>
              <w:spacing w:line="360" w:lineRule="auto"/>
              <w:jc w:val="center"/>
            </w:pPr>
            <w:r>
              <w:rPr>
                <w:rFonts w:hint="eastAsia"/>
              </w:rPr>
              <w:t xml:space="preserve">187.5</w:t>
            </w:r>
          </w:p>
        </w:tc>
        <w:tc>
          <w:tcPr>
            <w:tcW w:w="1207" w:type="dxa"/>
          </w:tcPr>
          <w:p w:rsidR="00CC34C7" w:rsidRDefault="00000000" w:rsidP="00D520B4">
            <w:pPr>
              <w:spacing w:line="360" w:lineRule="auto"/>
              <w:jc w:val="center"/>
            </w:pPr>
            <w:r>
              <w:rPr>
                <w:rFonts w:hint="eastAsia"/>
              </w:rPr>
              <w:t xml:space="preserve">93.75</w:t>
            </w:r>
          </w:p>
        </w:tc>
        <w:tc>
          <w:tcPr>
            <w:tcW w:w="1208" w:type="dxa"/>
          </w:tcPr>
          <w:p w:rsidR="00CC34C7" w:rsidRDefault="00000000" w:rsidP="00D520B4">
            <w:pPr>
              <w:spacing w:line="360" w:lineRule="auto"/>
              <w:jc w:val="center"/>
            </w:pPr>
            <w:r>
              <w:rPr>
                <w:rFonts w:hint="eastAsia"/>
              </w:rPr>
              <w:t xml:space="preserve">48.6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PDCD6IP简介：PDCD6IP是一种蛋白质，在胞质分裂的脱落阶段、内腔内囊泡形成和包膜病毒出芽过程中在ESCRT途径中发挥作用。利用小鼠细胞进行的研究表明，这种蛋白的过度表达可以阻止细胞凋亡。此外，该基因的产物以钙依赖的方式与凋亡所需的蛋白质PDCD6基因的产物结合。这种基因产物也与内生素结合，内生素是在内吞过程中调节膜形状的蛋白质。这种基因产物和内质素的过度表达导致细胞质空泡化，这可能是防止细胞死亡的部分原因。</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PDCD6IP Elisa Kit</w:t>
      </w:r>
    </w:p>
    <w:p w:rsidR="00CC34C7" w:rsidRDefault="00000000" w:rsidP="00D520B4">
      <w:pPr>
        <w:pStyle w:val="ab"/>
        <w:numPr>
          <w:ilvl w:val="0"/>
          <w:numId w:val="1"/>
        </w:numPr>
        <w:spacing w:line="360" w:lineRule="auto"/>
        <w:ind w:firstLineChars="0"/>
      </w:pPr>
      <w:r>
        <w:rPr>
          <w:rFonts w:hint="eastAsia"/>
        </w:rPr>
        <w:t xml:space="preserve">Detection range：48.6–3000pg/mL</w:t>
      </w:r>
    </w:p>
    <w:p w:rsidR="00CC34C7" w:rsidRDefault="00000000" w:rsidP="00D520B4">
      <w:pPr>
        <w:pStyle w:val="ab"/>
        <w:numPr>
          <w:ilvl w:val="0"/>
          <w:numId w:val="1"/>
        </w:numPr>
        <w:spacing w:line="360" w:lineRule="auto"/>
        <w:ind w:firstLineChars="0"/>
      </w:pPr>
      <w:r>
        <w:rPr>
          <w:rFonts w:hint="eastAsia"/>
        </w:rPr>
        <w:t xml:space="preserve">Sensitivity：＜8.84pg/ml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3000.0</w:t>
            </w:r>
          </w:p>
        </w:tc>
        <w:tc>
          <w:tcPr>
            <w:tcW w:w="1137" w:type="dxa"/>
          </w:tcPr>
          <w:p w:rsidR="00CC34C7" w:rsidRDefault="00000000" w:rsidP="00D520B4">
            <w:pPr>
              <w:spacing w:line="360" w:lineRule="auto"/>
            </w:pPr>
            <w:r>
              <w:rPr>
                <w:rFonts w:hint="eastAsia"/>
              </w:rPr>
              <w:t xml:space="preserve">1500.0</w:t>
            </w:r>
          </w:p>
        </w:tc>
        <w:tc>
          <w:tcPr>
            <w:tcW w:w="1137" w:type="dxa"/>
          </w:tcPr>
          <w:p w:rsidR="00CC34C7" w:rsidRDefault="00000000" w:rsidP="00D520B4">
            <w:pPr>
              <w:spacing w:line="360" w:lineRule="auto"/>
            </w:pPr>
            <w:r>
              <w:rPr>
                <w:rFonts w:hint="eastAsia"/>
              </w:rPr>
              <w:t xml:space="preserve">750.0</w:t>
            </w:r>
          </w:p>
        </w:tc>
        <w:tc>
          <w:tcPr>
            <w:tcW w:w="1137" w:type="dxa"/>
          </w:tcPr>
          <w:p w:rsidR="00CC34C7" w:rsidRDefault="00000000" w:rsidP="00D520B4">
            <w:pPr>
              <w:spacing w:line="360" w:lineRule="auto"/>
            </w:pPr>
            <w:r>
              <w:rPr>
                <w:rFonts w:hint="eastAsia"/>
              </w:rPr>
              <w:t xml:space="preserve">375.0</w:t>
            </w:r>
          </w:p>
        </w:tc>
        <w:tc>
          <w:tcPr>
            <w:tcW w:w="1137" w:type="dxa"/>
          </w:tcPr>
          <w:p w:rsidR="00CC34C7" w:rsidRDefault="00000000" w:rsidP="00D520B4">
            <w:pPr>
              <w:spacing w:line="360" w:lineRule="auto"/>
            </w:pPr>
            <w:r>
              <w:rPr>
                <w:rFonts w:hint="eastAsia"/>
              </w:rPr>
              <w:t xml:space="preserve">187.5</w:t>
            </w:r>
          </w:p>
        </w:tc>
        <w:tc>
          <w:tcPr>
            <w:tcW w:w="1137" w:type="dxa"/>
          </w:tcPr>
          <w:p w:rsidR="00CC34C7" w:rsidRDefault="00000000" w:rsidP="00D520B4">
            <w:pPr>
              <w:spacing w:line="360" w:lineRule="auto"/>
            </w:pPr>
            <w:r>
              <w:rPr>
                <w:rFonts w:hint="eastAsia"/>
              </w:rPr>
              <w:t xml:space="preserve">93.75</w:t>
            </w:r>
          </w:p>
        </w:tc>
        <w:tc>
          <w:tcPr>
            <w:tcW w:w="1138" w:type="dxa"/>
          </w:tcPr>
          <w:p w:rsidR="00CC34C7" w:rsidRDefault="00000000" w:rsidP="00D520B4">
            <w:pPr>
              <w:spacing w:line="360" w:lineRule="auto"/>
            </w:pPr>
            <w:r>
              <w:rPr>
                <w:rFonts w:hint="eastAsia"/>
              </w:rPr>
              <w:t xml:space="preserve">48.6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PDCD6IP is Pdcd6ip is a protein that plays a role in the ESCRT pathway during the abscission stage of cytokinesis, intraluminal vesicle formation and envelope virus budding. Studies using mouse cells have shown that overexpression of this protein can prevent apoptosis. In addition, the product of this gene binds to the product of pdcd6 gene, a protein required for apoptosis, in a calcium dependent manner. This gene product is also associated with endophytic proteins, which regulate membrane shape during the process of endocytosis. Overexpression of this gene product and endoplasmin leads to cytoplasmic vacuolation, which may be part of the reason for preventing cell death.</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